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September 23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5: Multiplying &amp; Dividing Decimals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Critical &amp; Reflective Thinking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Awareness &amp; Responsibility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Decimal operations follow the same logic as whole numbers, with attention to place value.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How does place value tell us where the decimal point goes?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multiply and divide decimals using place value.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estimate decimal answers to check reasonableness.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explain decimal-point placement using place value.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Multiplying and dividing decimals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Place value (connects to Lesson 1)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Estimation strategies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Base-ten grids and decimal place-value charts.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step-by-step process cards in first language and English.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exit ticket with estimation check.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did estimating help you check your answer?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reviewed for decimal placement and estimation.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Estimate the product of two decimals before calculating.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Class compares estimates for reasonableness.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introduces today’s focus.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estimating decimal products.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Builds estimation skill for place-value reasoning.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Builds on place value and fraction/percent work. </w:t>
            </w:r>
            <w:r>
              <w:rPr>
                <w:rFonts w:cstheme="minorHAnsi"/>
                <w:b/>
                <w:sz w:val="20"/>
                <w:szCs w:val="20"/>
              </w:rPr>
              <w:t>Multiplying and dividing decimals.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How did estimating help you check your answer?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grids, charts, and estimation warm-up problems.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Base-ten grids, decimal place-value charts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Estimation warm-up cards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Direct instruction: multiplying/dividing decimals with place-value models.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Guided practice with real-world problems (shopping, measurement).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step-by-step process cards and worked examples.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Worked-example sheets, real-world problem cards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Extension: multi-digit decimal operations.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Estimate first to check decimal placement.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(grids), visual (charts), or symbolic (algorithms).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one multiplication, one division, with estimates.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 handout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